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114300" distT="114300" distL="114300" distR="114300">
            <wp:extent cx="5943600" cy="3962400"/>
            <wp:effectExtent b="0" l="0" r="0" t="0"/>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943600" cy="39624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Melody Mitchem- Global Head HR</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Melody Mitchem is Senior Vice President of Human Resources (HR) at Brierley, joining the company in 2015. Melody leads the company's human resource team and also serves as a strategic business partner to other members of Brierley's leadership team.</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Melody has a 20+ year career in human resources, and she has led HR teams across several different industries, including technology, retail, and pharmaceuticals. Her global HR experience spans Europe, Canada, Latin America, India, and the Pacific Rim regions. Melody has previously been an HR leader at several global technology companies, including Autonomy/Etalk, NTT America/Verio, and Vertex Business Services.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While at Verio, Melody played a pivotal role during the company's acquisition by Nippon Telegraph &amp; Telephone by redesigning compensation and reward programs and leading change management activities. Melody has a passion for designing and implementing culturally aligned operational solutions that drive overall company performance.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9ZwyYskZWaGS+tNXbtwqc1SLGA==">CgMxLjA4AHIhMVVXbDhZU3lzcm56eXkxbVhUeW5QUkEwZ0FMOElTZVJP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